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68B" w:rsidRDefault="008C468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C468B" w:rsidRDefault="008C468B">
      <w:pPr>
        <w:pStyle w:val="ConsPlusNormal"/>
        <w:jc w:val="both"/>
        <w:outlineLvl w:val="0"/>
      </w:pPr>
    </w:p>
    <w:p w:rsidR="008C468B" w:rsidRDefault="008C468B">
      <w:pPr>
        <w:pStyle w:val="ConsPlusNormal"/>
        <w:jc w:val="both"/>
        <w:outlineLvl w:val="0"/>
      </w:pPr>
      <w:r>
        <w:t>Зарегистрировано в Минюсте России 20 октября 2023 г. N 75655</w:t>
      </w:r>
    </w:p>
    <w:p w:rsidR="008C468B" w:rsidRDefault="008C4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jc w:val="center"/>
      </w:pPr>
      <w:r>
        <w:t>МИНИСТЕРСТВО ПРОСВЕЩЕНИЯ РОССИЙСКОЙ ФЕДЕРАЦИИ</w:t>
      </w:r>
    </w:p>
    <w:p w:rsidR="008C468B" w:rsidRDefault="008C468B">
      <w:pPr>
        <w:pStyle w:val="ConsPlusTitle"/>
        <w:jc w:val="center"/>
      </w:pPr>
    </w:p>
    <w:p w:rsidR="008C468B" w:rsidRDefault="008C468B">
      <w:pPr>
        <w:pStyle w:val="ConsPlusTitle"/>
        <w:jc w:val="center"/>
      </w:pPr>
      <w:r>
        <w:t>ПРИКАЗ</w:t>
      </w:r>
    </w:p>
    <w:p w:rsidR="008C468B" w:rsidRDefault="008C468B">
      <w:pPr>
        <w:pStyle w:val="ConsPlusTitle"/>
        <w:jc w:val="center"/>
      </w:pPr>
      <w:r>
        <w:t>от 14 сентября 2023 г. N 684</w:t>
      </w:r>
    </w:p>
    <w:p w:rsidR="008C468B" w:rsidRDefault="008C468B">
      <w:pPr>
        <w:pStyle w:val="ConsPlusTitle"/>
        <w:jc w:val="center"/>
      </w:pPr>
    </w:p>
    <w:p w:rsidR="008C468B" w:rsidRDefault="008C468B">
      <w:pPr>
        <w:pStyle w:val="ConsPlusTitle"/>
        <w:jc w:val="center"/>
      </w:pPr>
      <w:r>
        <w:t>ОБ УТВЕРЖДЕНИИ</w:t>
      </w:r>
    </w:p>
    <w:p w:rsidR="008C468B" w:rsidRDefault="008C468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8C468B" w:rsidRDefault="008C468B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8C468B" w:rsidRDefault="008C468B">
      <w:pPr>
        <w:pStyle w:val="ConsPlusTitle"/>
        <w:jc w:val="center"/>
      </w:pPr>
      <w:r>
        <w:t>15.02.10 МЕХАТРОНИКА И РОБОТОТЕХНИКА (ПО ОТРАСЛЯМ)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6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2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15.02.10 Мехатроника и робототехника (по отраслям) (далее - стандарт).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2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8">
        <w:r>
          <w:rPr>
            <w:color w:val="0000FF"/>
          </w:rPr>
          <w:t>15.02.10</w:t>
        </w:r>
      </w:hyperlink>
      <w:r>
        <w:t xml:space="preserve"> Мехатроника и мобильная робототехника (по отраслям), утвержденным приказом Министерства образования и науки Российской Федерации от 9 декабря 2016 г. N 1550 (зарегистрирован Министерством юстиции Российской Федерации 26 декабря 2016 г., регистрационный N 44976), с изменениями, внесенными приказами Министерства просвещения Российской Федерации от 17 декабря 2020 г. N 747 (зарегистрирован Министерством юстиции Российской Федерации 22 января 2021 г., регистрационный N 62178) и от 1 сентября 2022 г. N 796 (зарегистрирован Министерством юстиции Российской Федерации 11 октября 2022 г., регистрационный N 70461), прекращается с 31 декабря 2023 года.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right"/>
      </w:pPr>
      <w:r>
        <w:t>Министр</w:t>
      </w:r>
    </w:p>
    <w:p w:rsidR="008C468B" w:rsidRDefault="008C468B">
      <w:pPr>
        <w:pStyle w:val="ConsPlusNormal"/>
        <w:jc w:val="right"/>
      </w:pPr>
      <w:r>
        <w:t>С.С.КРАВЦОВ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right"/>
        <w:outlineLvl w:val="0"/>
      </w:pPr>
      <w:r>
        <w:t>Утвержден</w:t>
      </w:r>
    </w:p>
    <w:p w:rsidR="008C468B" w:rsidRDefault="008C468B">
      <w:pPr>
        <w:pStyle w:val="ConsPlusNormal"/>
        <w:jc w:val="right"/>
      </w:pPr>
      <w:r>
        <w:t>приказом Министерства просвещения</w:t>
      </w:r>
    </w:p>
    <w:p w:rsidR="008C468B" w:rsidRDefault="008C468B">
      <w:pPr>
        <w:pStyle w:val="ConsPlusNormal"/>
        <w:jc w:val="right"/>
      </w:pPr>
      <w:r>
        <w:t>Российской Федерации</w:t>
      </w:r>
    </w:p>
    <w:p w:rsidR="008C468B" w:rsidRDefault="008C468B">
      <w:pPr>
        <w:pStyle w:val="ConsPlusNormal"/>
        <w:jc w:val="right"/>
      </w:pPr>
      <w:r>
        <w:t>от 14 сентября 2023 г. N 684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jc w:val="center"/>
      </w:pPr>
      <w:bookmarkStart w:id="0" w:name="P32"/>
      <w:bookmarkEnd w:id="0"/>
      <w:r>
        <w:t>ФЕДЕРАЛЬНЫЙ ГОСУДАРСТВЕННЫЙ ОБРАЗОВАТЕЛЬНЫЙ СТАНДАРТ</w:t>
      </w:r>
    </w:p>
    <w:p w:rsidR="008C468B" w:rsidRDefault="008C468B">
      <w:pPr>
        <w:pStyle w:val="ConsPlusTitle"/>
        <w:jc w:val="center"/>
      </w:pPr>
      <w:r>
        <w:lastRenderedPageBreak/>
        <w:t>СРЕДНЕГО ПРОФЕССИОНАЛЬНОГО ОБРАЗОВАНИЯ ПО СПЕЦИАЛЬНОСТИ</w:t>
      </w:r>
    </w:p>
    <w:p w:rsidR="008C468B" w:rsidRDefault="008C468B">
      <w:pPr>
        <w:pStyle w:val="ConsPlusTitle"/>
        <w:jc w:val="center"/>
      </w:pPr>
      <w:r>
        <w:t>15.02.10 МЕХАТРОНИКА И РОБОТОТЕХНИКА (ПО ОТРАСЛЯМ)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jc w:val="center"/>
        <w:outlineLvl w:val="1"/>
      </w:pPr>
      <w:r>
        <w:t>I. ОБЩИЕ ПОЛОЖЕНИЯ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bookmarkStart w:id="1" w:name="P38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9">
        <w:r>
          <w:rPr>
            <w:color w:val="0000FF"/>
          </w:rPr>
          <w:t>15.02.10</w:t>
        </w:r>
      </w:hyperlink>
      <w:r>
        <w:t xml:space="preserve"> Мехатроника и робототехника (по отраслям) (далее соответственно - ФГОС СПО, образовательная программа, специальность) в соответствии с квалификацией специалиста среднего звена "специалист по мехатронике и робототехнике" &lt;1&gt;.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0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приказом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1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2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г. N 732 (зарегистрирован Министерством юстиции Российской Федерации 12 сентября 2022 г., регистрационный N 70034).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lastRenderedPageBreak/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3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4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bookmarkStart w:id="2" w:name="P60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на базе среднего общего образования - 2 года 10 месяцев;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0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lastRenderedPageBreak/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5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года.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bookmarkStart w:id="3" w:name="P72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16">
        <w:r>
          <w:rPr>
            <w:color w:val="0000FF"/>
          </w:rPr>
          <w:t>22</w:t>
        </w:r>
      </w:hyperlink>
      <w:r>
        <w:t xml:space="preserve"> Пищевая промышленность, включая производство напитков и табака; </w:t>
      </w:r>
      <w:hyperlink r:id="rId17">
        <w:r>
          <w:rPr>
            <w:color w:val="0000FF"/>
          </w:rPr>
          <w:t>25</w:t>
        </w:r>
      </w:hyperlink>
      <w:r>
        <w:t xml:space="preserve"> Ракетно-космическая промышленность; </w:t>
      </w:r>
      <w:hyperlink r:id="rId18">
        <w:r>
          <w:rPr>
            <w:color w:val="0000FF"/>
          </w:rPr>
          <w:t>26</w:t>
        </w:r>
      </w:hyperlink>
      <w:r>
        <w:t xml:space="preserve"> Химическое, химико-технологическое производство; </w:t>
      </w:r>
      <w:hyperlink r:id="rId19">
        <w:r>
          <w:rPr>
            <w:color w:val="0000FF"/>
          </w:rPr>
          <w:t>28</w:t>
        </w:r>
      </w:hyperlink>
      <w:r>
        <w:t xml:space="preserve"> Производство машин и оборудования; </w:t>
      </w:r>
      <w:hyperlink r:id="rId20">
        <w:r>
          <w:rPr>
            <w:color w:val="0000FF"/>
          </w:rPr>
          <w:t>29</w:t>
        </w:r>
      </w:hyperlink>
      <w:r>
        <w:t xml:space="preserve"> Производство электрооборудования, электронного и оптического оборудования; </w:t>
      </w:r>
      <w:hyperlink r:id="rId21">
        <w:r>
          <w:rPr>
            <w:color w:val="0000FF"/>
          </w:rPr>
          <w:t>31</w:t>
        </w:r>
      </w:hyperlink>
      <w:r>
        <w:t xml:space="preserve"> Автомобилестроение; </w:t>
      </w:r>
      <w:hyperlink r:id="rId22">
        <w:r>
          <w:rPr>
            <w:color w:val="0000FF"/>
          </w:rPr>
          <w:t>32</w:t>
        </w:r>
      </w:hyperlink>
      <w:r>
        <w:t xml:space="preserve"> Авиастроение; </w:t>
      </w:r>
      <w:hyperlink r:id="rId23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&lt;6&gt;.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4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88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практику;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right"/>
      </w:pPr>
      <w:r>
        <w:t>Таблица N 1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center"/>
      </w:pPr>
      <w:bookmarkStart w:id="4" w:name="P88"/>
      <w:bookmarkEnd w:id="4"/>
      <w:r>
        <w:t>Структура и объем образовательной программы</w:t>
      </w:r>
    </w:p>
    <w:p w:rsidR="008C468B" w:rsidRDefault="008C46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9"/>
        <w:gridCol w:w="3402"/>
      </w:tblGrid>
      <w:tr w:rsidR="008C468B">
        <w:tc>
          <w:tcPr>
            <w:tcW w:w="5669" w:type="dxa"/>
          </w:tcPr>
          <w:p w:rsidR="008C468B" w:rsidRDefault="008C468B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402" w:type="dxa"/>
          </w:tcPr>
          <w:p w:rsidR="008C468B" w:rsidRDefault="008C468B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8C468B">
        <w:tc>
          <w:tcPr>
            <w:tcW w:w="5669" w:type="dxa"/>
          </w:tcPr>
          <w:p w:rsidR="008C468B" w:rsidRDefault="008C468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02" w:type="dxa"/>
          </w:tcPr>
          <w:p w:rsidR="008C468B" w:rsidRDefault="008C468B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8C468B">
        <w:tc>
          <w:tcPr>
            <w:tcW w:w="5669" w:type="dxa"/>
          </w:tcPr>
          <w:p w:rsidR="008C468B" w:rsidRDefault="008C468B">
            <w:pPr>
              <w:pStyle w:val="ConsPlusNormal"/>
            </w:pPr>
            <w:r>
              <w:t>Практика</w:t>
            </w:r>
          </w:p>
        </w:tc>
        <w:tc>
          <w:tcPr>
            <w:tcW w:w="3402" w:type="dxa"/>
          </w:tcPr>
          <w:p w:rsidR="008C468B" w:rsidRDefault="008C468B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8C468B">
        <w:tc>
          <w:tcPr>
            <w:tcW w:w="5669" w:type="dxa"/>
          </w:tcPr>
          <w:p w:rsidR="008C468B" w:rsidRDefault="008C468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02" w:type="dxa"/>
          </w:tcPr>
          <w:p w:rsidR="008C468B" w:rsidRDefault="008C468B">
            <w:pPr>
              <w:pStyle w:val="ConsPlusNormal"/>
              <w:jc w:val="center"/>
            </w:pPr>
            <w:r>
              <w:t>216</w:t>
            </w:r>
          </w:p>
        </w:tc>
      </w:tr>
      <w:tr w:rsidR="008C468B">
        <w:tc>
          <w:tcPr>
            <w:tcW w:w="9071" w:type="dxa"/>
            <w:gridSpan w:val="2"/>
          </w:tcPr>
          <w:p w:rsidR="008C468B" w:rsidRDefault="008C468B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8C468B">
        <w:tc>
          <w:tcPr>
            <w:tcW w:w="5669" w:type="dxa"/>
          </w:tcPr>
          <w:p w:rsidR="008C468B" w:rsidRDefault="008C468B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402" w:type="dxa"/>
          </w:tcPr>
          <w:p w:rsidR="008C468B" w:rsidRDefault="008C468B">
            <w:pPr>
              <w:pStyle w:val="ConsPlusNormal"/>
              <w:jc w:val="center"/>
            </w:pPr>
            <w:r>
              <w:t>4464</w:t>
            </w:r>
          </w:p>
        </w:tc>
      </w:tr>
      <w:tr w:rsidR="008C468B">
        <w:tc>
          <w:tcPr>
            <w:tcW w:w="5669" w:type="dxa"/>
          </w:tcPr>
          <w:p w:rsidR="008C468B" w:rsidRDefault="008C468B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402" w:type="dxa"/>
          </w:tcPr>
          <w:p w:rsidR="008C468B" w:rsidRDefault="008C468B">
            <w:pPr>
              <w:pStyle w:val="ConsPlusNormal"/>
              <w:jc w:val="center"/>
            </w:pPr>
            <w:r>
              <w:t>5940</w:t>
            </w:r>
          </w:p>
        </w:tc>
      </w:tr>
    </w:tbl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2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8C468B" w:rsidRDefault="008C468B">
      <w:pPr>
        <w:pStyle w:val="ConsPlusNormal"/>
        <w:spacing w:before="220"/>
        <w:ind w:firstLine="540"/>
        <w:jc w:val="both"/>
      </w:pPr>
      <w:bookmarkStart w:id="5" w:name="P113"/>
      <w:bookmarkEnd w:id="5"/>
      <w: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lastRenderedPageBreak/>
        <w:t>сборка, программирование и пусконаладка мехатронных систем;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техническое обслуживание узлов и агрегатов мехатронных устройств и систем;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монтаж, программирование и обслуживание робототехнических средств.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не менее 10 процентов - в заочной форме обучения.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часов, для подгрупп девушек это время может быть использовано на освоение основ медицинских знаний.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"Инженерная и компьютерная графика", "Электротехника", "Метрология, стандартизация и сертификация", "Техническая механика", "Охрана труда", "Материаловедение", "Основы вычислительной техники", "Элементы гидравлических и пневматических систем", "Математические методы решения прикладных профессиональных задач".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видами деятельности, предусмотренными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6 зачетных единиц.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lastRenderedPageBreak/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38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jc w:val="center"/>
        <w:outlineLvl w:val="1"/>
      </w:pPr>
      <w:bookmarkStart w:id="6" w:name="P132"/>
      <w:bookmarkEnd w:id="6"/>
      <w:r>
        <w:t>III. ТРЕБОВАНИЯ К РЕЗУЛЬТАТАМ ОСВОЕНИЯ</w:t>
      </w:r>
    </w:p>
    <w:p w:rsidR="008C468B" w:rsidRDefault="008C468B">
      <w:pPr>
        <w:pStyle w:val="ConsPlusTitle"/>
        <w:jc w:val="center"/>
      </w:pPr>
      <w:r>
        <w:t>ОБРАЗОВАТЕЛЬНОЙ ПРОГРАММЫ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ОК 09. Пользоваться профессиональной документацией на государственном и иностранном </w:t>
      </w:r>
      <w:r>
        <w:lastRenderedPageBreak/>
        <w:t>языках.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right"/>
      </w:pPr>
      <w:r>
        <w:t>Таблица N 2</w:t>
      </w:r>
    </w:p>
    <w:p w:rsidR="008C468B" w:rsidRDefault="008C468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8C468B">
        <w:tc>
          <w:tcPr>
            <w:tcW w:w="2268" w:type="dxa"/>
          </w:tcPr>
          <w:p w:rsidR="008C468B" w:rsidRDefault="008C468B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803" w:type="dxa"/>
          </w:tcPr>
          <w:p w:rsidR="008C468B" w:rsidRDefault="008C468B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8C468B">
        <w:tc>
          <w:tcPr>
            <w:tcW w:w="2268" w:type="dxa"/>
          </w:tcPr>
          <w:p w:rsidR="008C468B" w:rsidRDefault="008C468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8C468B" w:rsidRDefault="008C468B">
            <w:pPr>
              <w:pStyle w:val="ConsPlusNormal"/>
              <w:jc w:val="center"/>
            </w:pPr>
            <w:r>
              <w:t>2</w:t>
            </w:r>
          </w:p>
        </w:tc>
      </w:tr>
      <w:tr w:rsidR="008C468B">
        <w:tc>
          <w:tcPr>
            <w:tcW w:w="2268" w:type="dxa"/>
          </w:tcPr>
          <w:p w:rsidR="008C468B" w:rsidRDefault="008C468B">
            <w:pPr>
              <w:pStyle w:val="ConsPlusNormal"/>
              <w:jc w:val="both"/>
            </w:pPr>
            <w:r>
              <w:t>сборка, программирование и пусконаладка мехатронных систем</w:t>
            </w:r>
          </w:p>
        </w:tc>
        <w:tc>
          <w:tcPr>
            <w:tcW w:w="6803" w:type="dxa"/>
          </w:tcPr>
          <w:p w:rsidR="008C468B" w:rsidRDefault="008C468B">
            <w:pPr>
              <w:pStyle w:val="ConsPlusNormal"/>
              <w:jc w:val="both"/>
            </w:pPr>
            <w:r>
              <w:t>ПК 1.1. Выполнять сборку различных узлов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1.2. Выполнять снятие и установку датчиков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1.3. Производить наладку и регулировку различных узлов и агрегатов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1.4. Проводить настройку комплексов следящих приводов в составе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1.5. Выполнять установку программного обеспечения электронных и компьютерных модулей и узлов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1.6. Проводить конфигурирование и настройку программного обеспечения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1.7. Проводить конфигурирование и настройку программного обеспечения клиент-серверных систем сбора и анализа данных (промышленного интернета вещей).</w:t>
            </w:r>
          </w:p>
          <w:p w:rsidR="008C468B" w:rsidRDefault="008C468B">
            <w:pPr>
              <w:pStyle w:val="ConsPlusNormal"/>
              <w:jc w:val="both"/>
            </w:pPr>
            <w:r>
              <w:t>ПК 1.8. Проводить конфигурирование и настройку параметров информационной вычислительной сети мехатронной системы.</w:t>
            </w:r>
          </w:p>
          <w:p w:rsidR="008C468B" w:rsidRDefault="008C468B">
            <w:pPr>
              <w:pStyle w:val="ConsPlusNormal"/>
              <w:jc w:val="both"/>
            </w:pPr>
            <w:r>
              <w:t>ПК 1.9. Проводить комплексную настройку мехатронных устройств и систем с использованием программного обеспечения контроллеров и управляющих электронно-вычислительных машин, их устройств управления.</w:t>
            </w:r>
          </w:p>
        </w:tc>
      </w:tr>
      <w:tr w:rsidR="008C468B">
        <w:tc>
          <w:tcPr>
            <w:tcW w:w="2268" w:type="dxa"/>
          </w:tcPr>
          <w:p w:rsidR="008C468B" w:rsidRDefault="008C468B">
            <w:pPr>
              <w:pStyle w:val="ConsPlusNormal"/>
              <w:jc w:val="both"/>
            </w:pPr>
            <w:r>
              <w:t>техническое обслуживание узлов и агрегатов мехатронных устройств и систем</w:t>
            </w:r>
          </w:p>
        </w:tc>
        <w:tc>
          <w:tcPr>
            <w:tcW w:w="6803" w:type="dxa"/>
          </w:tcPr>
          <w:p w:rsidR="008C468B" w:rsidRDefault="008C468B">
            <w:pPr>
              <w:pStyle w:val="ConsPlusNormal"/>
              <w:jc w:val="both"/>
            </w:pPr>
            <w:r>
              <w:t>ПК 2.1. Выявлять внешние дефекты узлов и агрегатов мехатронных устройств и систем в результате их внешнего осмотра.</w:t>
            </w:r>
          </w:p>
          <w:p w:rsidR="008C468B" w:rsidRDefault="008C468B">
            <w:pPr>
              <w:pStyle w:val="ConsPlusNormal"/>
              <w:jc w:val="both"/>
            </w:pPr>
            <w:r>
              <w:t>ПК 2.2. Проверять соответствие диагностируемых параметров узлов, агрегатов и электронных модулей мехатронных устройств и систем требованиям эксплуатационной документации.</w:t>
            </w:r>
          </w:p>
          <w:p w:rsidR="008C468B" w:rsidRDefault="008C468B">
            <w:pPr>
              <w:pStyle w:val="ConsPlusNormal"/>
              <w:jc w:val="both"/>
            </w:pPr>
            <w:r>
              <w:t>ПК 2.3. Проводить контроль работоспособности программного обеспечения электронных устройств управления, приводов и датчиков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2.4. Выявлять отработавшие ресурс или вышедшие из строя компоненты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2.5. Заменять отработавшие ресурс или вышедшие из строя компоненты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2.6. Проводить контроль корректности работы и обновление программного обеспечения мехатронных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2.7. Проводить текущее техническое обслуживание узлов и агрегатов мехатронных устройств и систем.</w:t>
            </w:r>
          </w:p>
        </w:tc>
      </w:tr>
      <w:tr w:rsidR="008C468B">
        <w:tc>
          <w:tcPr>
            <w:tcW w:w="2268" w:type="dxa"/>
          </w:tcPr>
          <w:p w:rsidR="008C468B" w:rsidRDefault="008C468B">
            <w:pPr>
              <w:pStyle w:val="ConsPlusNormal"/>
              <w:jc w:val="both"/>
            </w:pPr>
            <w:r>
              <w:t xml:space="preserve">монтаж, </w:t>
            </w:r>
            <w:r>
              <w:lastRenderedPageBreak/>
              <w:t>программирование и обслуживание робототехнических средств</w:t>
            </w:r>
          </w:p>
        </w:tc>
        <w:tc>
          <w:tcPr>
            <w:tcW w:w="6803" w:type="dxa"/>
          </w:tcPr>
          <w:p w:rsidR="008C468B" w:rsidRDefault="008C468B">
            <w:pPr>
              <w:pStyle w:val="ConsPlusNormal"/>
              <w:jc w:val="both"/>
            </w:pPr>
            <w:r>
              <w:lastRenderedPageBreak/>
              <w:t xml:space="preserve">ПК 3.1. Проводить монтаж и коммутацию датчиков робототехнических </w:t>
            </w:r>
            <w:r>
              <w:lastRenderedPageBreak/>
              <w:t>средств.</w:t>
            </w:r>
          </w:p>
          <w:p w:rsidR="008C468B" w:rsidRDefault="008C468B">
            <w:pPr>
              <w:pStyle w:val="ConsPlusNormal"/>
              <w:jc w:val="both"/>
            </w:pPr>
            <w:r>
              <w:t>ПК 3.2. Проводить проверку и установку навесного оборудования на базу робототехнических средств.</w:t>
            </w:r>
          </w:p>
          <w:p w:rsidR="008C468B" w:rsidRDefault="008C468B">
            <w:pPr>
              <w:pStyle w:val="ConsPlusNormal"/>
              <w:jc w:val="both"/>
            </w:pPr>
            <w:r>
              <w:t>ПК 3.3. Выполнять монтаж и настройку средств измерений и робототехнических устройств и систем.</w:t>
            </w:r>
          </w:p>
          <w:p w:rsidR="008C468B" w:rsidRDefault="008C468B">
            <w:pPr>
              <w:pStyle w:val="ConsPlusNormal"/>
              <w:jc w:val="both"/>
            </w:pPr>
            <w:r>
              <w:t>ПК 3.4. Проводить синхронизацию навесного оборудования с блоком управления и питания робототехнических средств.</w:t>
            </w:r>
          </w:p>
          <w:p w:rsidR="008C468B" w:rsidRDefault="008C468B">
            <w:pPr>
              <w:pStyle w:val="ConsPlusNormal"/>
              <w:jc w:val="both"/>
            </w:pPr>
            <w:r>
              <w:t>ПК 3.5. Разрабатывать управляющие программы и контролировать их исполнение робототехнических средств.</w:t>
            </w:r>
          </w:p>
          <w:p w:rsidR="008C468B" w:rsidRDefault="008C468B">
            <w:pPr>
              <w:pStyle w:val="ConsPlusNormal"/>
              <w:jc w:val="both"/>
            </w:pPr>
            <w:r>
              <w:t>ПК 3.6. Выполнять пуск и наладку средств роботизации.</w:t>
            </w:r>
          </w:p>
          <w:p w:rsidR="008C468B" w:rsidRDefault="008C468B">
            <w:pPr>
              <w:pStyle w:val="ConsPlusNormal"/>
              <w:jc w:val="both"/>
            </w:pPr>
            <w:r>
              <w:t>ПК 3.7. Проводить обработку данных, полученных с внутренних систем контроля робототехнических средств и навесного оборудования.</w:t>
            </w:r>
          </w:p>
          <w:p w:rsidR="008C468B" w:rsidRDefault="008C468B">
            <w:pPr>
              <w:pStyle w:val="ConsPlusNormal"/>
              <w:jc w:val="both"/>
            </w:pPr>
            <w:r>
              <w:t>ПК 3.8. Проводить диагностику, техническое обслуживание и устранение мелких неисправностей внешних и внутренних систем робототехнических средств.</w:t>
            </w:r>
          </w:p>
        </w:tc>
      </w:tr>
    </w:tbl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5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8C468B" w:rsidRDefault="008C468B">
      <w:pPr>
        <w:pStyle w:val="ConsPlusTitle"/>
        <w:jc w:val="center"/>
      </w:pPr>
      <w:r>
        <w:t>ОБРАЗОВАТЕЛЬНОЙ ПРОГРАММЫ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&lt;8&gt;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</w:t>
      </w:r>
      <w:r>
        <w:lastRenderedPageBreak/>
        <w:t xml:space="preserve">благополучии населения"; санитарные правила </w:t>
      </w:r>
      <w:hyperlink r:id="rId27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8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9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года.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lastRenderedPageBreak/>
        <w:t>г) допускается замена оборудования его виртуальными аналогами;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</w:t>
      </w:r>
      <w:r>
        <w:lastRenderedPageBreak/>
        <w:t>педагогического работника;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72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31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8C468B" w:rsidRDefault="008C468B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том числе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jc w:val="both"/>
      </w:pPr>
    </w:p>
    <w:p w:rsidR="008C468B" w:rsidRDefault="008C468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468B" w:rsidRDefault="008C468B">
      <w:bookmarkStart w:id="7" w:name="_GoBack"/>
      <w:bookmarkEnd w:id="7"/>
    </w:p>
    <w:sectPr w:rsidR="008C468B" w:rsidSect="004D1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68B"/>
    <w:rsid w:val="008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827E3-8759-414C-97E8-7E369F553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4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C468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C468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0336&amp;dst=774" TargetMode="External"/><Relationship Id="rId18" Type="http://schemas.openxmlformats.org/officeDocument/2006/relationships/hyperlink" Target="https://login.consultant.ru/link/?req=doc&amp;base=LAW&amp;n=214720&amp;dst=100100" TargetMode="External"/><Relationship Id="rId26" Type="http://schemas.openxmlformats.org/officeDocument/2006/relationships/hyperlink" Target="https://login.consultant.ru/link/?req=doc&amp;base=LAW&amp;n=4830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214720&amp;dst=100110" TargetMode="External"/><Relationship Id="rId7" Type="http://schemas.openxmlformats.org/officeDocument/2006/relationships/hyperlink" Target="https://login.consultant.ru/link/?req=doc&amp;base=LAW&amp;n=429097&amp;dst=100010" TargetMode="External"/><Relationship Id="rId12" Type="http://schemas.openxmlformats.org/officeDocument/2006/relationships/hyperlink" Target="https://login.consultant.ru/link/?req=doc&amp;base=LAW&amp;n=470946&amp;dst=4" TargetMode="External"/><Relationship Id="rId17" Type="http://schemas.openxmlformats.org/officeDocument/2006/relationships/hyperlink" Target="https://login.consultant.ru/link/?req=doc&amp;base=LAW&amp;n=214720&amp;dst=100098" TargetMode="External"/><Relationship Id="rId25" Type="http://schemas.openxmlformats.org/officeDocument/2006/relationships/hyperlink" Target="https://login.consultant.ru/link/?req=doc&amp;base=LAW&amp;n=470336&amp;dst=415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14720&amp;dst=100092" TargetMode="External"/><Relationship Id="rId20" Type="http://schemas.openxmlformats.org/officeDocument/2006/relationships/hyperlink" Target="https://login.consultant.ru/link/?req=doc&amp;base=LAW&amp;n=214720&amp;dst=100106" TargetMode="External"/><Relationship Id="rId29" Type="http://schemas.openxmlformats.org/officeDocument/2006/relationships/hyperlink" Target="https://login.consultant.ru/link/?req=doc&amp;base=LAW&amp;n=441707&amp;dst=1001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262&amp;dst=100072" TargetMode="External"/><Relationship Id="rId11" Type="http://schemas.openxmlformats.org/officeDocument/2006/relationships/hyperlink" Target="https://login.consultant.ru/link/?req=doc&amp;base=LAW&amp;n=470946&amp;dst=4" TargetMode="External"/><Relationship Id="rId24" Type="http://schemas.openxmlformats.org/officeDocument/2006/relationships/hyperlink" Target="https://login.consultant.ru/link/?req=doc&amp;base=LAW&amp;n=214720&amp;dst=100047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8439&amp;dst=100051" TargetMode="External"/><Relationship Id="rId15" Type="http://schemas.openxmlformats.org/officeDocument/2006/relationships/hyperlink" Target="https://login.consultant.ru/link/?req=doc&amp;base=LAW&amp;n=411930&amp;dst=100030" TargetMode="External"/><Relationship Id="rId23" Type="http://schemas.openxmlformats.org/officeDocument/2006/relationships/hyperlink" Target="https://login.consultant.ru/link/?req=doc&amp;base=LAW&amp;n=214720&amp;dst=100116" TargetMode="External"/><Relationship Id="rId28" Type="http://schemas.openxmlformats.org/officeDocument/2006/relationships/hyperlink" Target="https://login.consultant.ru/link/?req=doc&amp;base=LAW&amp;n=367564&amp;dst=100037" TargetMode="External"/><Relationship Id="rId10" Type="http://schemas.openxmlformats.org/officeDocument/2006/relationships/hyperlink" Target="https://login.consultant.ru/link/?req=doc&amp;base=LAW&amp;n=477946&amp;dst=100022" TargetMode="External"/><Relationship Id="rId19" Type="http://schemas.openxmlformats.org/officeDocument/2006/relationships/hyperlink" Target="https://login.consultant.ru/link/?req=doc&amp;base=LAW&amp;n=214720&amp;dst=100104" TargetMode="External"/><Relationship Id="rId31" Type="http://schemas.openxmlformats.org/officeDocument/2006/relationships/hyperlink" Target="https://login.consultant.ru/link/?req=doc&amp;base=LAW&amp;n=4697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7946&amp;dst=117" TargetMode="External"/><Relationship Id="rId14" Type="http://schemas.openxmlformats.org/officeDocument/2006/relationships/hyperlink" Target="https://login.consultant.ru/link/?req=doc&amp;base=LAW&amp;n=470336&amp;dst=100249" TargetMode="External"/><Relationship Id="rId22" Type="http://schemas.openxmlformats.org/officeDocument/2006/relationships/hyperlink" Target="https://login.consultant.ru/link/?req=doc&amp;base=LAW&amp;n=214720&amp;dst=100112" TargetMode="External"/><Relationship Id="rId27" Type="http://schemas.openxmlformats.org/officeDocument/2006/relationships/hyperlink" Target="https://login.consultant.ru/link/?req=doc&amp;base=LAW&amp;n=371594&amp;dst=100047" TargetMode="External"/><Relationship Id="rId30" Type="http://schemas.openxmlformats.org/officeDocument/2006/relationships/hyperlink" Target="https://login.consultant.ru/link/?req=doc&amp;base=LAW&amp;n=470336" TargetMode="External"/><Relationship Id="rId8" Type="http://schemas.openxmlformats.org/officeDocument/2006/relationships/hyperlink" Target="https://login.consultant.ru/link/?req=doc&amp;base=LAW&amp;n=477946&amp;dst=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5375</Words>
  <Characters>30640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Луценко Екатерина Сергеевна</dc:creator>
  <cp:keywords/>
  <dc:description/>
  <cp:lastModifiedBy>Луценко Екатерина Сергеевна</cp:lastModifiedBy>
  <cp:revision>1</cp:revision>
  <dcterms:created xsi:type="dcterms:W3CDTF">2024-11-18T08:06:00Z</dcterms:created>
  <dcterms:modified xsi:type="dcterms:W3CDTF">2024-11-18T08:06:00Z</dcterms:modified>
</cp:coreProperties>
</file>